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CF4" w:rsidRPr="00F661C5" w:rsidRDefault="00B70D7A">
      <w:pPr>
        <w:rPr>
          <w:b/>
        </w:rPr>
      </w:pPr>
      <w:bookmarkStart w:id="0" w:name="_GoBack"/>
      <w:bookmarkEnd w:id="0"/>
      <w:r w:rsidRPr="00F661C5">
        <w:rPr>
          <w:b/>
        </w:rPr>
        <w:t>PREGUNTAS</w:t>
      </w:r>
    </w:p>
    <w:p w:rsidR="00B70D7A" w:rsidRDefault="00B70D7A"/>
    <w:p w:rsidR="00B70D7A" w:rsidRPr="00581B98" w:rsidRDefault="00B70D7A" w:rsidP="00581B98">
      <w:pPr>
        <w:pStyle w:val="Prrafodelista"/>
        <w:numPr>
          <w:ilvl w:val="0"/>
          <w:numId w:val="1"/>
        </w:numPr>
        <w:ind w:left="284" w:hanging="284"/>
        <w:jc w:val="both"/>
        <w:rPr>
          <w:i/>
        </w:rPr>
      </w:pPr>
      <w:r w:rsidRPr="00581B98">
        <w:rPr>
          <w:i/>
        </w:rPr>
        <w:t xml:space="preserve">Hay alguna relación entre “La prueba de RACHAS” y el “Durbin Watson”, es decir, mientras un indicador  aumenta el otro disminuye o algo parecido. </w:t>
      </w:r>
      <w:r w:rsidR="00581B98" w:rsidRPr="00581B98">
        <w:rPr>
          <w:i/>
        </w:rPr>
        <w:t>E</w:t>
      </w:r>
      <w:r w:rsidRPr="00581B98">
        <w:rPr>
          <w:i/>
        </w:rPr>
        <w:t>l primero  verifica la aleatoriedad de los residuales y el otro la independencia de los residuales. Entonces cuál es la relación entre ello</w:t>
      </w:r>
      <w:r w:rsidR="00581B98" w:rsidRPr="00581B98">
        <w:rPr>
          <w:i/>
        </w:rPr>
        <w:t>s es similar la aleatoriedad y la independencia</w:t>
      </w:r>
      <w:r w:rsidRPr="00581B98">
        <w:rPr>
          <w:i/>
        </w:rPr>
        <w:t xml:space="preserve">? </w:t>
      </w:r>
    </w:p>
    <w:p w:rsidR="00B70D7A" w:rsidRDefault="00B70D7A" w:rsidP="00B70D7A">
      <w:pPr>
        <w:jc w:val="both"/>
        <w:rPr>
          <w:b/>
          <w:i/>
        </w:rPr>
      </w:pPr>
    </w:p>
    <w:p w:rsidR="00B70D7A" w:rsidRPr="00581B98" w:rsidRDefault="00B70D7A" w:rsidP="00581B98">
      <w:pPr>
        <w:pStyle w:val="Prrafodelista"/>
        <w:numPr>
          <w:ilvl w:val="0"/>
          <w:numId w:val="1"/>
        </w:numPr>
        <w:ind w:left="284" w:hanging="284"/>
        <w:jc w:val="both"/>
        <w:rPr>
          <w:i/>
        </w:rPr>
      </w:pPr>
      <w:r w:rsidRPr="00581B98">
        <w:rPr>
          <w:i/>
        </w:rPr>
        <w:t>De una forma sencilla y práctica, como usted muy bien lo hace, nos podría aclarar los siguientes términos, ojala con un ejemplo real:</w:t>
      </w:r>
    </w:p>
    <w:p w:rsidR="00B70D7A" w:rsidRDefault="00B70D7A" w:rsidP="00B70D7A">
      <w:pPr>
        <w:jc w:val="both"/>
        <w:rPr>
          <w:b/>
          <w:i/>
        </w:rPr>
      </w:pPr>
    </w:p>
    <w:p w:rsidR="00B70D7A" w:rsidRPr="00581B98" w:rsidRDefault="00B70D7A" w:rsidP="00581B98">
      <w:pPr>
        <w:pStyle w:val="Prrafodelista"/>
        <w:numPr>
          <w:ilvl w:val="0"/>
          <w:numId w:val="2"/>
        </w:numPr>
        <w:jc w:val="both"/>
        <w:rPr>
          <w:i/>
        </w:rPr>
      </w:pPr>
      <w:r w:rsidRPr="00581B98">
        <w:rPr>
          <w:i/>
        </w:rPr>
        <w:t>Homogeneidad.</w:t>
      </w:r>
    </w:p>
    <w:p w:rsidR="00B70D7A" w:rsidRPr="00581B98" w:rsidRDefault="00B70D7A" w:rsidP="00581B98">
      <w:pPr>
        <w:pStyle w:val="Prrafodelista"/>
        <w:numPr>
          <w:ilvl w:val="0"/>
          <w:numId w:val="2"/>
        </w:numPr>
        <w:jc w:val="both"/>
        <w:rPr>
          <w:i/>
        </w:rPr>
      </w:pPr>
      <w:r w:rsidRPr="00581B98">
        <w:rPr>
          <w:i/>
        </w:rPr>
        <w:t>Autocorrelación.</w:t>
      </w:r>
    </w:p>
    <w:p w:rsidR="00B70D7A" w:rsidRPr="00581B98" w:rsidRDefault="00B70D7A" w:rsidP="00581B98">
      <w:pPr>
        <w:pStyle w:val="Prrafodelista"/>
        <w:numPr>
          <w:ilvl w:val="0"/>
          <w:numId w:val="2"/>
        </w:numPr>
        <w:jc w:val="both"/>
        <w:rPr>
          <w:i/>
        </w:rPr>
      </w:pPr>
      <w:r w:rsidRPr="00581B98">
        <w:rPr>
          <w:i/>
        </w:rPr>
        <w:t>Autocovarianza</w:t>
      </w:r>
    </w:p>
    <w:p w:rsidR="00B70D7A" w:rsidRPr="00581B98" w:rsidRDefault="00B70D7A" w:rsidP="00581B98">
      <w:pPr>
        <w:pStyle w:val="Prrafodelista"/>
        <w:numPr>
          <w:ilvl w:val="0"/>
          <w:numId w:val="2"/>
        </w:numPr>
        <w:jc w:val="both"/>
        <w:rPr>
          <w:i/>
        </w:rPr>
      </w:pPr>
      <w:r w:rsidRPr="00581B98">
        <w:rPr>
          <w:i/>
        </w:rPr>
        <w:t xml:space="preserve">Multicolinealidad </w:t>
      </w:r>
    </w:p>
    <w:p w:rsidR="00B70D7A" w:rsidRPr="00581B98" w:rsidRDefault="00B70D7A" w:rsidP="00581B98">
      <w:pPr>
        <w:pStyle w:val="Prrafodelista"/>
        <w:numPr>
          <w:ilvl w:val="0"/>
          <w:numId w:val="2"/>
        </w:numPr>
        <w:jc w:val="both"/>
        <w:rPr>
          <w:i/>
        </w:rPr>
      </w:pPr>
      <w:r w:rsidRPr="00581B98">
        <w:rPr>
          <w:i/>
        </w:rPr>
        <w:t>Homocedasticidad</w:t>
      </w:r>
    </w:p>
    <w:p w:rsidR="00B70D7A" w:rsidRPr="00581B98" w:rsidRDefault="00B70D7A" w:rsidP="00581B98">
      <w:pPr>
        <w:pStyle w:val="Prrafodelista"/>
        <w:numPr>
          <w:ilvl w:val="0"/>
          <w:numId w:val="2"/>
        </w:numPr>
        <w:jc w:val="both"/>
        <w:rPr>
          <w:i/>
        </w:rPr>
      </w:pPr>
      <w:r w:rsidRPr="00581B98">
        <w:rPr>
          <w:i/>
        </w:rPr>
        <w:t>Heterocedasticidad</w:t>
      </w:r>
    </w:p>
    <w:p w:rsidR="00B70D7A" w:rsidRDefault="00B70D7A"/>
    <w:p w:rsidR="00B20513" w:rsidRPr="00581B98" w:rsidRDefault="00B20513" w:rsidP="00581B98">
      <w:pPr>
        <w:pStyle w:val="Prrafodelista"/>
        <w:numPr>
          <w:ilvl w:val="0"/>
          <w:numId w:val="1"/>
        </w:numPr>
        <w:ind w:left="284" w:hanging="284"/>
        <w:jc w:val="both"/>
        <w:rPr>
          <w:i/>
        </w:rPr>
      </w:pPr>
      <w:r w:rsidRPr="00581B98">
        <w:rPr>
          <w:i/>
        </w:rPr>
        <w:t>Cuando se hizo la prueba de normalidad se concluyó que ambas tensiones, no siguen una distribución normal.</w:t>
      </w:r>
    </w:p>
    <w:p w:rsidR="00F661C5" w:rsidRPr="00F661C5" w:rsidRDefault="00F661C5" w:rsidP="00F661C5">
      <w:pPr>
        <w:autoSpaceDE w:val="0"/>
        <w:autoSpaceDN w:val="0"/>
        <w:adjustRightInd w:val="0"/>
        <w:rPr>
          <w:rFonts w:ascii="Times New Roman" w:hAnsi="Times New Roman" w:cs="Times New Roman"/>
          <w:sz w:val="24"/>
          <w:szCs w:val="24"/>
        </w:rPr>
      </w:pPr>
    </w:p>
    <w:tbl>
      <w:tblPr>
        <w:tblW w:w="89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9"/>
        <w:gridCol w:w="1209"/>
        <w:gridCol w:w="1009"/>
        <w:gridCol w:w="1009"/>
        <w:gridCol w:w="1209"/>
        <w:gridCol w:w="1009"/>
        <w:gridCol w:w="1009"/>
      </w:tblGrid>
      <w:tr w:rsidR="00B20513" w:rsidRPr="00F661C5" w:rsidTr="008C35FB">
        <w:trPr>
          <w:cantSplit/>
        </w:trPr>
        <w:tc>
          <w:tcPr>
            <w:tcW w:w="8899" w:type="dxa"/>
            <w:gridSpan w:val="7"/>
            <w:tcBorders>
              <w:top w:val="nil"/>
              <w:left w:val="nil"/>
              <w:bottom w:val="nil"/>
              <w:right w:val="nil"/>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b/>
                <w:bCs/>
                <w:color w:val="000000"/>
                <w:sz w:val="18"/>
                <w:szCs w:val="18"/>
              </w:rPr>
              <w:t>Pruebas de normalidad</w:t>
            </w:r>
          </w:p>
        </w:tc>
      </w:tr>
      <w:tr w:rsidR="00B20513" w:rsidRPr="00F661C5" w:rsidTr="008C35FB">
        <w:trPr>
          <w:cantSplit/>
        </w:trPr>
        <w:tc>
          <w:tcPr>
            <w:tcW w:w="2447" w:type="dxa"/>
            <w:vMerge w:val="restart"/>
            <w:tcBorders>
              <w:top w:val="single" w:sz="16" w:space="0" w:color="000000"/>
              <w:left w:val="single" w:sz="16" w:space="0" w:color="000000"/>
              <w:bottom w:val="nil"/>
              <w:right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rPr>
                <w:rFonts w:ascii="Arial" w:hAnsi="Arial" w:cs="Arial"/>
                <w:color w:val="000000"/>
                <w:sz w:val="18"/>
                <w:szCs w:val="18"/>
              </w:rPr>
            </w:pPr>
          </w:p>
        </w:tc>
        <w:tc>
          <w:tcPr>
            <w:tcW w:w="3226" w:type="dxa"/>
            <w:gridSpan w:val="3"/>
            <w:tcBorders>
              <w:top w:val="single" w:sz="16" w:space="0" w:color="000000"/>
              <w:left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Kolmogorov-Smirnov</w:t>
            </w:r>
            <w:r w:rsidRPr="00F661C5">
              <w:rPr>
                <w:rFonts w:ascii="Arial" w:hAnsi="Arial" w:cs="Arial"/>
                <w:color w:val="000000"/>
                <w:sz w:val="18"/>
                <w:szCs w:val="18"/>
                <w:vertAlign w:val="superscript"/>
              </w:rPr>
              <w:t>a</w:t>
            </w:r>
          </w:p>
        </w:tc>
        <w:tc>
          <w:tcPr>
            <w:tcW w:w="3226" w:type="dxa"/>
            <w:gridSpan w:val="3"/>
            <w:tcBorders>
              <w:top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Shapiro-Wilk</w:t>
            </w:r>
          </w:p>
        </w:tc>
      </w:tr>
      <w:tr w:rsidR="00B20513" w:rsidRPr="00F661C5" w:rsidTr="008C35FB">
        <w:trPr>
          <w:cantSplit/>
        </w:trPr>
        <w:tc>
          <w:tcPr>
            <w:tcW w:w="2447" w:type="dxa"/>
            <w:vMerge/>
            <w:tcBorders>
              <w:top w:val="single" w:sz="16" w:space="0" w:color="000000"/>
              <w:left w:val="single" w:sz="16" w:space="0" w:color="000000"/>
              <w:bottom w:val="nil"/>
              <w:right w:val="single" w:sz="16" w:space="0" w:color="000000"/>
            </w:tcBorders>
            <w:shd w:val="clear" w:color="auto" w:fill="FFFFFF"/>
          </w:tcPr>
          <w:p w:rsidR="00B20513" w:rsidRPr="00F661C5" w:rsidRDefault="00B20513" w:rsidP="008C35FB">
            <w:pPr>
              <w:autoSpaceDE w:val="0"/>
              <w:autoSpaceDN w:val="0"/>
              <w:adjustRightInd w:val="0"/>
              <w:rPr>
                <w:rFonts w:ascii="Arial" w:hAnsi="Arial" w:cs="Arial"/>
                <w:color w:val="000000"/>
                <w:sz w:val="18"/>
                <w:szCs w:val="18"/>
              </w:rPr>
            </w:pPr>
          </w:p>
        </w:tc>
        <w:tc>
          <w:tcPr>
            <w:tcW w:w="1208" w:type="dxa"/>
            <w:tcBorders>
              <w:left w:val="single" w:sz="16" w:space="0" w:color="000000"/>
              <w:bottom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Estadístico</w:t>
            </w:r>
          </w:p>
        </w:tc>
        <w:tc>
          <w:tcPr>
            <w:tcW w:w="1009" w:type="dxa"/>
            <w:tcBorders>
              <w:bottom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gl</w:t>
            </w:r>
          </w:p>
        </w:tc>
        <w:tc>
          <w:tcPr>
            <w:tcW w:w="1009" w:type="dxa"/>
            <w:tcBorders>
              <w:bottom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Sig.</w:t>
            </w:r>
          </w:p>
        </w:tc>
        <w:tc>
          <w:tcPr>
            <w:tcW w:w="1208" w:type="dxa"/>
            <w:tcBorders>
              <w:bottom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Estadístico</w:t>
            </w:r>
          </w:p>
        </w:tc>
        <w:tc>
          <w:tcPr>
            <w:tcW w:w="1009" w:type="dxa"/>
            <w:tcBorders>
              <w:bottom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gl</w:t>
            </w:r>
          </w:p>
        </w:tc>
        <w:tc>
          <w:tcPr>
            <w:tcW w:w="1009" w:type="dxa"/>
            <w:tcBorders>
              <w:bottom w:val="single" w:sz="16" w:space="0" w:color="000000"/>
              <w:right w:val="single" w:sz="16" w:space="0" w:color="000000"/>
            </w:tcBorders>
            <w:shd w:val="clear" w:color="auto" w:fill="FFFFFF"/>
          </w:tcPr>
          <w:p w:rsidR="00B20513" w:rsidRPr="00F661C5" w:rsidRDefault="00B20513" w:rsidP="008C35FB">
            <w:pPr>
              <w:autoSpaceDE w:val="0"/>
              <w:autoSpaceDN w:val="0"/>
              <w:adjustRightInd w:val="0"/>
              <w:spacing w:line="320" w:lineRule="atLeast"/>
              <w:ind w:left="60" w:right="60"/>
              <w:jc w:val="center"/>
              <w:rPr>
                <w:rFonts w:ascii="Arial" w:hAnsi="Arial" w:cs="Arial"/>
                <w:color w:val="000000"/>
                <w:sz w:val="18"/>
                <w:szCs w:val="18"/>
              </w:rPr>
            </w:pPr>
            <w:r w:rsidRPr="00F661C5">
              <w:rPr>
                <w:rFonts w:ascii="Arial" w:hAnsi="Arial" w:cs="Arial"/>
                <w:color w:val="000000"/>
                <w:sz w:val="18"/>
                <w:szCs w:val="18"/>
              </w:rPr>
              <w:t>Sig.</w:t>
            </w:r>
          </w:p>
        </w:tc>
      </w:tr>
      <w:tr w:rsidR="00B20513" w:rsidRPr="00F661C5" w:rsidTr="008C35FB">
        <w:trPr>
          <w:cantSplit/>
        </w:trPr>
        <w:tc>
          <w:tcPr>
            <w:tcW w:w="2447" w:type="dxa"/>
            <w:tcBorders>
              <w:top w:val="single" w:sz="16" w:space="0" w:color="000000"/>
              <w:left w:val="single" w:sz="16" w:space="0" w:color="000000"/>
              <w:bottom w:val="nil"/>
              <w:right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rPr>
                <w:rFonts w:ascii="Arial" w:hAnsi="Arial" w:cs="Arial"/>
                <w:color w:val="000000"/>
                <w:sz w:val="18"/>
                <w:szCs w:val="18"/>
              </w:rPr>
            </w:pPr>
            <w:r w:rsidRPr="00F661C5">
              <w:rPr>
                <w:rFonts w:ascii="Arial" w:hAnsi="Arial" w:cs="Arial"/>
                <w:color w:val="000000"/>
                <w:sz w:val="18"/>
                <w:szCs w:val="18"/>
              </w:rPr>
              <w:t>Tensión arterial sistólica medición inicial</w:t>
            </w:r>
          </w:p>
        </w:tc>
        <w:tc>
          <w:tcPr>
            <w:tcW w:w="1208" w:type="dxa"/>
            <w:tcBorders>
              <w:top w:val="single" w:sz="16" w:space="0" w:color="000000"/>
              <w:left w:val="single" w:sz="16" w:space="0" w:color="000000"/>
              <w:bottom w:val="nil"/>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,185</w:t>
            </w:r>
          </w:p>
        </w:tc>
        <w:tc>
          <w:tcPr>
            <w:tcW w:w="1009" w:type="dxa"/>
            <w:tcBorders>
              <w:top w:val="single" w:sz="16" w:space="0" w:color="000000"/>
              <w:bottom w:val="nil"/>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50</w:t>
            </w:r>
          </w:p>
        </w:tc>
        <w:tc>
          <w:tcPr>
            <w:tcW w:w="1009" w:type="dxa"/>
            <w:tcBorders>
              <w:top w:val="single" w:sz="16" w:space="0" w:color="000000"/>
              <w:bottom w:val="nil"/>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,000</w:t>
            </w:r>
          </w:p>
        </w:tc>
        <w:tc>
          <w:tcPr>
            <w:tcW w:w="1208" w:type="dxa"/>
            <w:tcBorders>
              <w:top w:val="single" w:sz="16" w:space="0" w:color="000000"/>
              <w:bottom w:val="nil"/>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,785</w:t>
            </w:r>
          </w:p>
        </w:tc>
        <w:tc>
          <w:tcPr>
            <w:tcW w:w="1009" w:type="dxa"/>
            <w:tcBorders>
              <w:top w:val="single" w:sz="16" w:space="0" w:color="000000"/>
              <w:bottom w:val="nil"/>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50</w:t>
            </w:r>
          </w:p>
        </w:tc>
        <w:tc>
          <w:tcPr>
            <w:tcW w:w="1009" w:type="dxa"/>
            <w:tcBorders>
              <w:top w:val="single" w:sz="16" w:space="0" w:color="000000"/>
              <w:bottom w:val="nil"/>
              <w:right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,000</w:t>
            </w:r>
          </w:p>
        </w:tc>
      </w:tr>
      <w:tr w:rsidR="00B20513" w:rsidRPr="00F661C5" w:rsidTr="008C35FB">
        <w:trPr>
          <w:cantSplit/>
        </w:trPr>
        <w:tc>
          <w:tcPr>
            <w:tcW w:w="2447" w:type="dxa"/>
            <w:tcBorders>
              <w:top w:val="nil"/>
              <w:left w:val="single" w:sz="16" w:space="0" w:color="000000"/>
              <w:bottom w:val="single" w:sz="16" w:space="0" w:color="000000"/>
              <w:right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rPr>
                <w:rFonts w:ascii="Arial" w:hAnsi="Arial" w:cs="Arial"/>
                <w:color w:val="000000"/>
                <w:sz w:val="18"/>
                <w:szCs w:val="18"/>
              </w:rPr>
            </w:pPr>
            <w:r w:rsidRPr="00F661C5">
              <w:rPr>
                <w:rFonts w:ascii="Arial" w:hAnsi="Arial" w:cs="Arial"/>
                <w:color w:val="000000"/>
                <w:sz w:val="18"/>
                <w:szCs w:val="18"/>
              </w:rPr>
              <w:t>Tensión arterial sistólica medición final</w:t>
            </w:r>
          </w:p>
        </w:tc>
        <w:tc>
          <w:tcPr>
            <w:tcW w:w="1208" w:type="dxa"/>
            <w:tcBorders>
              <w:top w:val="nil"/>
              <w:left w:val="single" w:sz="16" w:space="0" w:color="000000"/>
              <w:bottom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,165</w:t>
            </w:r>
          </w:p>
        </w:tc>
        <w:tc>
          <w:tcPr>
            <w:tcW w:w="1009" w:type="dxa"/>
            <w:tcBorders>
              <w:top w:val="nil"/>
              <w:bottom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50</w:t>
            </w:r>
          </w:p>
        </w:tc>
        <w:tc>
          <w:tcPr>
            <w:tcW w:w="1009" w:type="dxa"/>
            <w:tcBorders>
              <w:top w:val="nil"/>
              <w:bottom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,002</w:t>
            </w:r>
          </w:p>
        </w:tc>
        <w:tc>
          <w:tcPr>
            <w:tcW w:w="1208" w:type="dxa"/>
            <w:tcBorders>
              <w:top w:val="nil"/>
              <w:bottom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,914</w:t>
            </w:r>
          </w:p>
        </w:tc>
        <w:tc>
          <w:tcPr>
            <w:tcW w:w="1009" w:type="dxa"/>
            <w:tcBorders>
              <w:top w:val="nil"/>
              <w:bottom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50</w:t>
            </w:r>
          </w:p>
        </w:tc>
        <w:tc>
          <w:tcPr>
            <w:tcW w:w="1009" w:type="dxa"/>
            <w:tcBorders>
              <w:top w:val="nil"/>
              <w:bottom w:val="single" w:sz="16" w:space="0" w:color="000000"/>
              <w:right w:val="single" w:sz="16" w:space="0" w:color="000000"/>
            </w:tcBorders>
            <w:shd w:val="clear" w:color="auto" w:fill="FFFFFF"/>
            <w:vAlign w:val="center"/>
          </w:tcPr>
          <w:p w:rsidR="00B20513" w:rsidRPr="00F661C5" w:rsidRDefault="00B20513" w:rsidP="008C35FB">
            <w:pPr>
              <w:autoSpaceDE w:val="0"/>
              <w:autoSpaceDN w:val="0"/>
              <w:adjustRightInd w:val="0"/>
              <w:spacing w:line="320" w:lineRule="atLeast"/>
              <w:ind w:left="60" w:right="60"/>
              <w:jc w:val="right"/>
              <w:rPr>
                <w:rFonts w:ascii="Arial" w:hAnsi="Arial" w:cs="Arial"/>
                <w:color w:val="000000"/>
                <w:sz w:val="18"/>
                <w:szCs w:val="18"/>
              </w:rPr>
            </w:pPr>
            <w:r w:rsidRPr="00F661C5">
              <w:rPr>
                <w:rFonts w:ascii="Arial" w:hAnsi="Arial" w:cs="Arial"/>
                <w:color w:val="000000"/>
                <w:sz w:val="18"/>
                <w:szCs w:val="18"/>
              </w:rPr>
              <w:t>,001</w:t>
            </w:r>
          </w:p>
        </w:tc>
      </w:tr>
      <w:tr w:rsidR="00B20513" w:rsidRPr="00F661C5" w:rsidTr="008C35FB">
        <w:trPr>
          <w:cantSplit/>
        </w:trPr>
        <w:tc>
          <w:tcPr>
            <w:tcW w:w="8899" w:type="dxa"/>
            <w:gridSpan w:val="7"/>
            <w:tcBorders>
              <w:top w:val="nil"/>
              <w:left w:val="nil"/>
              <w:bottom w:val="nil"/>
              <w:right w:val="nil"/>
            </w:tcBorders>
            <w:shd w:val="clear" w:color="auto" w:fill="FFFFFF"/>
          </w:tcPr>
          <w:p w:rsidR="00B20513" w:rsidRPr="00F661C5" w:rsidRDefault="00B20513" w:rsidP="008C35FB">
            <w:pPr>
              <w:autoSpaceDE w:val="0"/>
              <w:autoSpaceDN w:val="0"/>
              <w:adjustRightInd w:val="0"/>
              <w:spacing w:line="320" w:lineRule="atLeast"/>
              <w:ind w:left="60" w:right="60"/>
              <w:rPr>
                <w:rFonts w:ascii="Arial" w:hAnsi="Arial" w:cs="Arial"/>
                <w:color w:val="000000"/>
                <w:sz w:val="18"/>
                <w:szCs w:val="18"/>
              </w:rPr>
            </w:pPr>
            <w:r w:rsidRPr="00F661C5">
              <w:rPr>
                <w:rFonts w:ascii="Arial" w:hAnsi="Arial" w:cs="Arial"/>
                <w:color w:val="000000"/>
                <w:sz w:val="18"/>
                <w:szCs w:val="18"/>
              </w:rPr>
              <w:t>a. Corrección de la significación de Lilliefors</w:t>
            </w:r>
          </w:p>
        </w:tc>
      </w:tr>
    </w:tbl>
    <w:p w:rsidR="00F661C5" w:rsidRDefault="00F661C5" w:rsidP="00F661C5">
      <w:pPr>
        <w:autoSpaceDE w:val="0"/>
        <w:autoSpaceDN w:val="0"/>
        <w:adjustRightInd w:val="0"/>
        <w:spacing w:line="400" w:lineRule="atLeast"/>
        <w:rPr>
          <w:rFonts w:ascii="Times New Roman" w:hAnsi="Times New Roman" w:cs="Times New Roman"/>
          <w:sz w:val="24"/>
          <w:szCs w:val="24"/>
        </w:rPr>
      </w:pPr>
    </w:p>
    <w:p w:rsidR="00B20513" w:rsidRPr="00581B98" w:rsidRDefault="00B20513" w:rsidP="00581B98">
      <w:pPr>
        <w:jc w:val="both"/>
        <w:rPr>
          <w:i/>
        </w:rPr>
      </w:pPr>
      <w:r w:rsidRPr="00581B98">
        <w:rPr>
          <w:i/>
        </w:rPr>
        <w:t>En este caso en el video mencionó que si no es normal, entonces se utilizan otras pruebas no parámétricas. Para qué se utilizarían o para verificar qué?</w:t>
      </w:r>
    </w:p>
    <w:p w:rsidR="00B20513" w:rsidRPr="00581B98" w:rsidRDefault="00B20513" w:rsidP="00581B98">
      <w:pPr>
        <w:pStyle w:val="Prrafodelista"/>
        <w:ind w:left="284"/>
        <w:jc w:val="both"/>
        <w:rPr>
          <w:i/>
        </w:rPr>
      </w:pPr>
    </w:p>
    <w:p w:rsidR="00B20513" w:rsidRPr="00581B98" w:rsidRDefault="00B20513" w:rsidP="00581B98">
      <w:pPr>
        <w:jc w:val="both"/>
        <w:rPr>
          <w:i/>
        </w:rPr>
      </w:pPr>
      <w:r w:rsidRPr="00581B98">
        <w:rPr>
          <w:i/>
        </w:rPr>
        <w:t>Porque estamos verificando la normalidad para hacer la prueba de hipótesis</w:t>
      </w:r>
      <w:r w:rsidR="00FE5B2A" w:rsidRPr="00581B98">
        <w:rPr>
          <w:i/>
        </w:rPr>
        <w:t xml:space="preserve"> mediante una prueba t</w:t>
      </w:r>
      <w:r w:rsidRPr="00581B98">
        <w:rPr>
          <w:i/>
        </w:rPr>
        <w:t>, pero al no cumplirse, entonces</w:t>
      </w:r>
      <w:r w:rsidR="00D95E01" w:rsidRPr="00581B98">
        <w:rPr>
          <w:i/>
        </w:rPr>
        <w:t xml:space="preserve"> </w:t>
      </w:r>
      <w:r w:rsidR="00FE5B2A" w:rsidRPr="00581B98">
        <w:rPr>
          <w:i/>
        </w:rPr>
        <w:t xml:space="preserve">no toca hacer otra </w:t>
      </w:r>
      <w:r w:rsidR="00581B98">
        <w:rPr>
          <w:i/>
        </w:rPr>
        <w:t xml:space="preserve">una </w:t>
      </w:r>
      <w:r w:rsidR="00FE5B2A" w:rsidRPr="00581B98">
        <w:rPr>
          <w:i/>
        </w:rPr>
        <w:t>prueba de hipótesis distinta?</w:t>
      </w:r>
      <w:r w:rsidR="00FA348F" w:rsidRPr="00581B98">
        <w:rPr>
          <w:i/>
        </w:rPr>
        <w:t xml:space="preserve"> Por ejemplo cual?</w:t>
      </w:r>
      <w:r w:rsidR="00D95E01" w:rsidRPr="00581B98">
        <w:rPr>
          <w:i/>
        </w:rPr>
        <w:t xml:space="preserve"> </w:t>
      </w:r>
    </w:p>
    <w:p w:rsidR="00D95E01" w:rsidRDefault="00D95E01" w:rsidP="00F661C5">
      <w:pPr>
        <w:autoSpaceDE w:val="0"/>
        <w:autoSpaceDN w:val="0"/>
        <w:adjustRightInd w:val="0"/>
        <w:spacing w:line="400" w:lineRule="atLeast"/>
        <w:rPr>
          <w:rFonts w:ascii="Times New Roman" w:hAnsi="Times New Roman" w:cs="Times New Roman"/>
          <w:sz w:val="24"/>
          <w:szCs w:val="24"/>
        </w:rPr>
      </w:pPr>
    </w:p>
    <w:p w:rsidR="001B5FA0" w:rsidRPr="00F661C5" w:rsidRDefault="001B5FA0" w:rsidP="001B5FA0">
      <w:pPr>
        <w:pStyle w:val="Prrafodelista"/>
        <w:numPr>
          <w:ilvl w:val="0"/>
          <w:numId w:val="1"/>
        </w:numPr>
        <w:ind w:left="284" w:hanging="284"/>
        <w:jc w:val="both"/>
        <w:rPr>
          <w:i/>
        </w:rPr>
      </w:pPr>
      <w:r w:rsidRPr="001B5FA0">
        <w:rPr>
          <w:i/>
        </w:rPr>
        <w:t xml:space="preserve">En el video se hizo la prueba de hipótesis </w:t>
      </w:r>
      <w:r>
        <w:rPr>
          <w:i/>
        </w:rPr>
        <w:t xml:space="preserve">T </w:t>
      </w:r>
      <w:r w:rsidRPr="001B5FA0">
        <w:rPr>
          <w:i/>
        </w:rPr>
        <w:t>para la tensión arterial inicial, pero a manera de ejemplo, porque no</w:t>
      </w:r>
      <w:r>
        <w:rPr>
          <w:i/>
        </w:rPr>
        <w:t xml:space="preserve"> se </w:t>
      </w:r>
      <w:r w:rsidRPr="001B5FA0">
        <w:rPr>
          <w:i/>
        </w:rPr>
        <w:t xml:space="preserve"> cumplió la normalidad, es así?</w:t>
      </w:r>
    </w:p>
    <w:p w:rsidR="00D95E01" w:rsidRDefault="00D95E01" w:rsidP="00F661C5">
      <w:pPr>
        <w:autoSpaceDE w:val="0"/>
        <w:autoSpaceDN w:val="0"/>
        <w:adjustRightInd w:val="0"/>
        <w:spacing w:line="400" w:lineRule="atLeast"/>
        <w:rPr>
          <w:rFonts w:ascii="Times New Roman" w:hAnsi="Times New Roman" w:cs="Times New Roman"/>
          <w:sz w:val="24"/>
          <w:szCs w:val="24"/>
        </w:rPr>
      </w:pPr>
    </w:p>
    <w:p w:rsidR="001B5FA0" w:rsidRPr="00F661C5" w:rsidRDefault="001B5FA0" w:rsidP="001B5FA0">
      <w:pPr>
        <w:pStyle w:val="Prrafodelista"/>
        <w:numPr>
          <w:ilvl w:val="0"/>
          <w:numId w:val="1"/>
        </w:numPr>
        <w:ind w:left="284" w:hanging="284"/>
        <w:jc w:val="both"/>
        <w:rPr>
          <w:i/>
        </w:rPr>
      </w:pPr>
      <w:r w:rsidRPr="001B5FA0">
        <w:rPr>
          <w:i/>
        </w:rPr>
        <w:t xml:space="preserve">En el </w:t>
      </w:r>
      <w:r>
        <w:rPr>
          <w:i/>
        </w:rPr>
        <w:t>siguiente gráfico, tengo entendido que el círculo, que corresponde al registro 39, es un valor extremo, ¿Qué significa el 5 con el asterisco? Los valores extremos son tenidos en cuenta para el cálculo de las medidas estadísticas? Ya que en la gráfica, al parecer no se tienen en cuenta por que de ser así, el bigote de la gráfica, debería ir hasta el 39? Qué criterio tiene el software para definir que valores extremos no se incluyen en la gráfica?</w:t>
      </w:r>
    </w:p>
    <w:p w:rsidR="001B5FA0" w:rsidRDefault="001B5FA0" w:rsidP="00F661C5">
      <w:pPr>
        <w:autoSpaceDE w:val="0"/>
        <w:autoSpaceDN w:val="0"/>
        <w:adjustRightInd w:val="0"/>
        <w:spacing w:line="400" w:lineRule="atLeast"/>
        <w:rPr>
          <w:rFonts w:ascii="Times New Roman" w:hAnsi="Times New Roman" w:cs="Times New Roman"/>
          <w:sz w:val="24"/>
          <w:szCs w:val="24"/>
        </w:rPr>
      </w:pPr>
    </w:p>
    <w:p w:rsidR="00D95E01" w:rsidRDefault="00D95E01" w:rsidP="00D95E01">
      <w:pPr>
        <w:autoSpaceDE w:val="0"/>
        <w:autoSpaceDN w:val="0"/>
        <w:adjustRightInd w:val="0"/>
        <w:rPr>
          <w:rFonts w:ascii="Times New Roman" w:hAnsi="Times New Roman" w:cs="Times New Roman"/>
          <w:sz w:val="24"/>
          <w:szCs w:val="24"/>
        </w:rPr>
      </w:pPr>
      <w:r>
        <w:rPr>
          <w:rFonts w:ascii="Times New Roman" w:hAnsi="Times New Roman" w:cs="Times New Roman"/>
          <w:noProof/>
          <w:sz w:val="24"/>
          <w:szCs w:val="24"/>
          <w:lang w:eastAsia="es-CO"/>
        </w:rPr>
        <w:drawing>
          <wp:inline distT="0" distB="0" distL="0" distR="0">
            <wp:extent cx="5943600" cy="4752975"/>
            <wp:effectExtent l="1905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5943600" cy="4752975"/>
                    </a:xfrm>
                    <a:prstGeom prst="rect">
                      <a:avLst/>
                    </a:prstGeom>
                    <a:noFill/>
                    <a:ln w="9525">
                      <a:noFill/>
                      <a:miter lim="800000"/>
                      <a:headEnd/>
                      <a:tailEnd/>
                    </a:ln>
                  </pic:spPr>
                </pic:pic>
              </a:graphicData>
            </a:graphic>
          </wp:inline>
        </w:drawing>
      </w:r>
    </w:p>
    <w:p w:rsidR="00D95E01" w:rsidRDefault="00D95E01" w:rsidP="00D95E01">
      <w:pPr>
        <w:autoSpaceDE w:val="0"/>
        <w:autoSpaceDN w:val="0"/>
        <w:adjustRightInd w:val="0"/>
        <w:rPr>
          <w:rFonts w:ascii="Times New Roman" w:hAnsi="Times New Roman" w:cs="Times New Roman"/>
          <w:sz w:val="24"/>
          <w:szCs w:val="24"/>
        </w:rPr>
      </w:pPr>
    </w:p>
    <w:p w:rsidR="00D95E01" w:rsidRDefault="00D95E01" w:rsidP="00D95E01">
      <w:pPr>
        <w:autoSpaceDE w:val="0"/>
        <w:autoSpaceDN w:val="0"/>
        <w:adjustRightInd w:val="0"/>
        <w:spacing w:line="400" w:lineRule="atLeast"/>
        <w:rPr>
          <w:rFonts w:ascii="Times New Roman" w:hAnsi="Times New Roman" w:cs="Times New Roman"/>
          <w:sz w:val="24"/>
          <w:szCs w:val="24"/>
        </w:rPr>
      </w:pPr>
    </w:p>
    <w:p w:rsidR="00D95E01" w:rsidRDefault="00D95E01" w:rsidP="00F661C5">
      <w:pPr>
        <w:autoSpaceDE w:val="0"/>
        <w:autoSpaceDN w:val="0"/>
        <w:adjustRightInd w:val="0"/>
        <w:spacing w:line="400" w:lineRule="atLeast"/>
        <w:rPr>
          <w:rFonts w:ascii="Times New Roman" w:hAnsi="Times New Roman" w:cs="Times New Roman"/>
          <w:sz w:val="24"/>
          <w:szCs w:val="24"/>
        </w:rPr>
      </w:pPr>
    </w:p>
    <w:p w:rsidR="00B70D7A" w:rsidRDefault="00B70D7A"/>
    <w:p w:rsidR="00397264" w:rsidRDefault="00397264"/>
    <w:p w:rsidR="00397264" w:rsidRDefault="00397264"/>
    <w:sectPr w:rsidR="00397264" w:rsidSect="00124CF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238C2"/>
    <w:multiLevelType w:val="hybridMultilevel"/>
    <w:tmpl w:val="6686C0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71A4681C"/>
    <w:multiLevelType w:val="hybridMultilevel"/>
    <w:tmpl w:val="AD82D7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D7A"/>
    <w:rsid w:val="00124CF4"/>
    <w:rsid w:val="001B43D8"/>
    <w:rsid w:val="001B5FA0"/>
    <w:rsid w:val="00397264"/>
    <w:rsid w:val="0039778B"/>
    <w:rsid w:val="003E17F9"/>
    <w:rsid w:val="00581B98"/>
    <w:rsid w:val="005965C4"/>
    <w:rsid w:val="00906FF3"/>
    <w:rsid w:val="0094676F"/>
    <w:rsid w:val="009E3D02"/>
    <w:rsid w:val="00AC74E6"/>
    <w:rsid w:val="00B20513"/>
    <w:rsid w:val="00B70D7A"/>
    <w:rsid w:val="00C1413B"/>
    <w:rsid w:val="00D95E01"/>
    <w:rsid w:val="00EF1A09"/>
    <w:rsid w:val="00F661C5"/>
    <w:rsid w:val="00FA348F"/>
    <w:rsid w:val="00FE5B2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CF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B70D7A"/>
  </w:style>
  <w:style w:type="character" w:styleId="Hipervnculo">
    <w:name w:val="Hyperlink"/>
    <w:basedOn w:val="Fuentedeprrafopredeter"/>
    <w:uiPriority w:val="99"/>
    <w:semiHidden/>
    <w:unhideWhenUsed/>
    <w:rsid w:val="00B70D7A"/>
    <w:rPr>
      <w:color w:val="0000FF"/>
      <w:u w:val="single"/>
    </w:rPr>
  </w:style>
  <w:style w:type="paragraph" w:styleId="Textodeglobo">
    <w:name w:val="Balloon Text"/>
    <w:basedOn w:val="Normal"/>
    <w:link w:val="TextodegloboCar"/>
    <w:uiPriority w:val="99"/>
    <w:semiHidden/>
    <w:unhideWhenUsed/>
    <w:rsid w:val="0039726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264"/>
    <w:rPr>
      <w:rFonts w:ascii="Tahoma" w:hAnsi="Tahoma" w:cs="Tahoma"/>
      <w:sz w:val="16"/>
      <w:szCs w:val="16"/>
    </w:rPr>
  </w:style>
  <w:style w:type="paragraph" w:styleId="Prrafodelista">
    <w:name w:val="List Paragraph"/>
    <w:basedOn w:val="Normal"/>
    <w:uiPriority w:val="34"/>
    <w:qFormat/>
    <w:rsid w:val="00581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CF4"/>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B70D7A"/>
  </w:style>
  <w:style w:type="character" w:styleId="Hipervnculo">
    <w:name w:val="Hyperlink"/>
    <w:basedOn w:val="Fuentedeprrafopredeter"/>
    <w:uiPriority w:val="99"/>
    <w:semiHidden/>
    <w:unhideWhenUsed/>
    <w:rsid w:val="00B70D7A"/>
    <w:rPr>
      <w:color w:val="0000FF"/>
      <w:u w:val="single"/>
    </w:rPr>
  </w:style>
  <w:style w:type="paragraph" w:styleId="Textodeglobo">
    <w:name w:val="Balloon Text"/>
    <w:basedOn w:val="Normal"/>
    <w:link w:val="TextodegloboCar"/>
    <w:uiPriority w:val="99"/>
    <w:semiHidden/>
    <w:unhideWhenUsed/>
    <w:rsid w:val="00397264"/>
    <w:rPr>
      <w:rFonts w:ascii="Tahoma" w:hAnsi="Tahoma" w:cs="Tahoma"/>
      <w:sz w:val="16"/>
      <w:szCs w:val="16"/>
    </w:rPr>
  </w:style>
  <w:style w:type="character" w:customStyle="1" w:styleId="TextodegloboCar">
    <w:name w:val="Texto de globo Car"/>
    <w:basedOn w:val="Fuentedeprrafopredeter"/>
    <w:link w:val="Textodeglobo"/>
    <w:uiPriority w:val="99"/>
    <w:semiHidden/>
    <w:rsid w:val="00397264"/>
    <w:rPr>
      <w:rFonts w:ascii="Tahoma" w:hAnsi="Tahoma" w:cs="Tahoma"/>
      <w:sz w:val="16"/>
      <w:szCs w:val="16"/>
    </w:rPr>
  </w:style>
  <w:style w:type="paragraph" w:styleId="Prrafodelista">
    <w:name w:val="List Paragraph"/>
    <w:basedOn w:val="Normal"/>
    <w:uiPriority w:val="34"/>
    <w:qFormat/>
    <w:rsid w:val="00581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1655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Windows XP Titan Ultimate Edition</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FonsoF</dc:creator>
  <cp:lastModifiedBy>LEON DARIO</cp:lastModifiedBy>
  <cp:revision>2</cp:revision>
  <dcterms:created xsi:type="dcterms:W3CDTF">2012-10-23T18:41:00Z</dcterms:created>
  <dcterms:modified xsi:type="dcterms:W3CDTF">2012-10-23T18:41:00Z</dcterms:modified>
</cp:coreProperties>
</file>